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A" w:rsidRPr="00746889" w:rsidRDefault="008B53CA" w:rsidP="008B53CA">
      <w:pPr>
        <w:shd w:val="clear" w:color="auto" w:fill="FFFFFF"/>
        <w:spacing w:before="96" w:after="120" w:line="315" w:lineRule="atLeast"/>
        <w:rPr>
          <w:rFonts w:ascii="Arial" w:hAnsi="Arial" w:cs="Arial"/>
          <w:b/>
          <w:color w:val="000000"/>
        </w:rPr>
      </w:pPr>
      <w:r w:rsidRPr="00746889">
        <w:rPr>
          <w:rFonts w:ascii="Arial" w:hAnsi="Arial" w:cs="Arial"/>
          <w:b/>
          <w:color w:val="000000"/>
        </w:rPr>
        <w:t>CHARGE </w:t>
      </w:r>
      <w:r>
        <w:rPr>
          <w:rFonts w:ascii="Arial" w:hAnsi="Arial" w:cs="Arial"/>
          <w:b/>
          <w:color w:val="000000"/>
        </w:rPr>
        <w:t>Longevity Age 90</w:t>
      </w:r>
      <w:r w:rsidRPr="00746889">
        <w:rPr>
          <w:rFonts w:ascii="Arial" w:hAnsi="Arial" w:cs="Arial"/>
          <w:b/>
          <w:i/>
          <w:iCs/>
          <w:color w:val="000000"/>
        </w:rPr>
        <w:t xml:space="preserve"> </w:t>
      </w:r>
      <w:r w:rsidRPr="00746889">
        <w:rPr>
          <w:rFonts w:ascii="Arial" w:hAnsi="Arial" w:cs="Arial"/>
          <w:b/>
          <w:color w:val="000000"/>
        </w:rPr>
        <w:t>Results README </w:t>
      </w:r>
    </w:p>
    <w:p w:rsidR="008B53CA" w:rsidRDefault="008B53CA" w:rsidP="008B53CA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Meta-</w:t>
      </w:r>
      <w:r w:rsidRPr="00746889">
        <w:rPr>
          <w:rFonts w:ascii="Arial" w:hAnsi="Arial" w:cs="Arial"/>
          <w:color w:val="000000"/>
        </w:rPr>
        <w:t xml:space="preserve">analysis was performed for </w:t>
      </w:r>
      <w:r>
        <w:rPr>
          <w:rFonts w:ascii="Arial" w:hAnsi="Arial" w:cs="Arial"/>
          <w:color w:val="000000"/>
        </w:rPr>
        <w:t>longevity where cases are those that reached an age of greater than or equal to 90 years, and controls are those that died between ages 55 and 80 years. Meta-</w:t>
      </w:r>
      <w:r w:rsidRPr="00746889">
        <w:rPr>
          <w:rFonts w:ascii="Arial" w:hAnsi="Arial" w:cs="Arial"/>
          <w:color w:val="000000"/>
        </w:rPr>
        <w:t xml:space="preserve">analysis results are in comma-delimited format. </w:t>
      </w:r>
      <w:r>
        <w:rPr>
          <w:rFonts w:ascii="Arial" w:hAnsi="Arial" w:cs="Arial"/>
          <w:color w:val="000000"/>
        </w:rPr>
        <w:t>The file name</w:t>
      </w:r>
      <w:r w:rsidRPr="007468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 broer_age90.csv.gz</w:t>
      </w:r>
      <w:r w:rsidRPr="00746889">
        <w:rPr>
          <w:rFonts w:ascii="Arial" w:hAnsi="Arial" w:cs="Arial"/>
          <w:color w:val="000000"/>
        </w:rPr>
        <w:t>.</w:t>
      </w:r>
    </w:p>
    <w:p w:rsidR="008B53CA" w:rsidRPr="00746889" w:rsidRDefault="008B53CA" w:rsidP="008B53CA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</w:p>
    <w:p w:rsidR="008B53CA" w:rsidRPr="00A65A73" w:rsidRDefault="008B53CA" w:rsidP="008B53CA">
      <w:pPr>
        <w:shd w:val="clear" w:color="auto" w:fill="FFFFFF"/>
        <w:rPr>
          <w:rFonts w:ascii="Arial" w:hAnsi="Arial" w:cs="Arial"/>
          <w:color w:val="000000"/>
        </w:rPr>
      </w:pPr>
      <w:r w:rsidRPr="00746889">
        <w:rPr>
          <w:rFonts w:ascii="Arial" w:hAnsi="Arial" w:cs="Arial"/>
          <w:color w:val="000000"/>
        </w:rPr>
        <w:t>​</w:t>
      </w:r>
      <w:r w:rsidRPr="0046770D">
        <w:rPr>
          <w:rFonts w:ascii="Arial" w:hAnsi="Arial" w:cs="Arial"/>
          <w:color w:val="000000"/>
          <w:u w:val="single"/>
        </w:rPr>
        <w:t>For additional information, please see/cite:</w:t>
      </w:r>
      <w:r w:rsidRPr="0046770D">
        <w:rPr>
          <w:rFonts w:ascii="Arial" w:hAnsi="Arial" w:cs="Arial"/>
          <w:color w:val="000000"/>
        </w:rPr>
        <w:br/>
      </w:r>
      <w:r w:rsidRPr="00A65A73">
        <w:rPr>
          <w:rFonts w:ascii="Arial" w:hAnsi="Arial" w:cs="Arial"/>
          <w:color w:val="000000"/>
        </w:rPr>
        <w:t>GWAS of longevity in CHARGE consortium confirms APOE and FOXO3 candidacy.</w:t>
      </w:r>
    </w:p>
    <w:p w:rsidR="008B53CA" w:rsidRDefault="008B53CA" w:rsidP="008B53CA">
      <w:pPr>
        <w:shd w:val="clear" w:color="auto" w:fill="FFFFFF"/>
        <w:rPr>
          <w:rFonts w:ascii="Arial" w:hAnsi="Arial" w:cs="Arial"/>
          <w:color w:val="000000"/>
        </w:rPr>
      </w:pPr>
    </w:p>
    <w:p w:rsidR="008B53CA" w:rsidRDefault="008B53CA" w:rsidP="008B53CA">
      <w:pPr>
        <w:shd w:val="clear" w:color="auto" w:fill="FFFFFF"/>
        <w:rPr>
          <w:rFonts w:ascii="Arial" w:hAnsi="Arial" w:cs="Arial"/>
          <w:color w:val="000000"/>
        </w:rPr>
      </w:pPr>
      <w:r w:rsidRPr="00A65A73">
        <w:rPr>
          <w:rFonts w:ascii="Arial" w:hAnsi="Arial" w:cs="Arial"/>
          <w:color w:val="000000"/>
        </w:rPr>
        <w:t xml:space="preserve">J </w:t>
      </w:r>
      <w:proofErr w:type="spellStart"/>
      <w:r w:rsidRPr="00A65A73">
        <w:rPr>
          <w:rFonts w:ascii="Arial" w:hAnsi="Arial" w:cs="Arial"/>
          <w:color w:val="000000"/>
        </w:rPr>
        <w:t>Gerontol</w:t>
      </w:r>
      <w:proofErr w:type="spellEnd"/>
      <w:r w:rsidRPr="00A65A73">
        <w:rPr>
          <w:rFonts w:ascii="Arial" w:hAnsi="Arial" w:cs="Arial"/>
          <w:color w:val="000000"/>
        </w:rPr>
        <w:t xml:space="preserve"> A </w:t>
      </w:r>
      <w:proofErr w:type="spellStart"/>
      <w:r w:rsidRPr="00A65A73">
        <w:rPr>
          <w:rFonts w:ascii="Arial" w:hAnsi="Arial" w:cs="Arial"/>
          <w:color w:val="000000"/>
        </w:rPr>
        <w:t>Biol</w:t>
      </w:r>
      <w:proofErr w:type="spellEnd"/>
      <w:r w:rsidRPr="00A65A73">
        <w:rPr>
          <w:rFonts w:ascii="Arial" w:hAnsi="Arial" w:cs="Arial"/>
          <w:color w:val="000000"/>
        </w:rPr>
        <w:t xml:space="preserve"> </w:t>
      </w:r>
      <w:proofErr w:type="spellStart"/>
      <w:r w:rsidRPr="00A65A73">
        <w:rPr>
          <w:rFonts w:ascii="Arial" w:hAnsi="Arial" w:cs="Arial"/>
          <w:color w:val="000000"/>
        </w:rPr>
        <w:t>Sci</w:t>
      </w:r>
      <w:proofErr w:type="spellEnd"/>
      <w:r w:rsidRPr="00A65A73">
        <w:rPr>
          <w:rFonts w:ascii="Arial" w:hAnsi="Arial" w:cs="Arial"/>
          <w:color w:val="000000"/>
        </w:rPr>
        <w:t xml:space="preserve"> Med Sci. 2015 Jan;70(1):110-8.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A65A73">
        <w:rPr>
          <w:rFonts w:ascii="Arial" w:hAnsi="Arial" w:cs="Arial"/>
          <w:color w:val="000000"/>
        </w:rPr>
        <w:t>Epub</w:t>
      </w:r>
      <w:proofErr w:type="spellEnd"/>
      <w:r w:rsidRPr="00A65A73">
        <w:rPr>
          <w:rFonts w:ascii="Arial" w:hAnsi="Arial" w:cs="Arial"/>
          <w:color w:val="000000"/>
        </w:rPr>
        <w:t xml:space="preserve"> 2014 Sep 8. </w:t>
      </w:r>
    </w:p>
    <w:p w:rsidR="008B53CA" w:rsidRDefault="008B53CA" w:rsidP="008B53CA">
      <w:pPr>
        <w:shd w:val="clear" w:color="auto" w:fill="FFFFFF"/>
        <w:rPr>
          <w:rFonts w:ascii="Arial" w:hAnsi="Arial" w:cs="Arial"/>
          <w:color w:val="000000"/>
        </w:rPr>
      </w:pPr>
    </w:p>
    <w:p w:rsidR="008B53CA" w:rsidRPr="00A42671" w:rsidRDefault="008B53CA" w:rsidP="008B53CA">
      <w:pPr>
        <w:shd w:val="clear" w:color="auto" w:fill="FFFFFF"/>
        <w:rPr>
          <w:rFonts w:ascii="Arial" w:hAnsi="Arial" w:cs="Arial"/>
          <w:color w:val="000000"/>
        </w:rPr>
      </w:pPr>
      <w:r w:rsidRPr="00A42671">
        <w:rPr>
          <w:rFonts w:ascii="Arial" w:hAnsi="Arial" w:cs="Arial"/>
          <w:color w:val="000000"/>
        </w:rPr>
        <w:t>DOI: 10.1093/</w:t>
      </w:r>
      <w:proofErr w:type="spellStart"/>
      <w:r w:rsidRPr="00A42671">
        <w:rPr>
          <w:rFonts w:ascii="Arial" w:hAnsi="Arial" w:cs="Arial"/>
          <w:color w:val="000000"/>
        </w:rPr>
        <w:t>gerona</w:t>
      </w:r>
      <w:proofErr w:type="spellEnd"/>
      <w:r w:rsidRPr="00A42671">
        <w:rPr>
          <w:rFonts w:ascii="Arial" w:hAnsi="Arial" w:cs="Arial"/>
          <w:color w:val="000000"/>
        </w:rPr>
        <w:t xml:space="preserve">/glu166 </w:t>
      </w:r>
    </w:p>
    <w:p w:rsidR="008B53CA" w:rsidRPr="00A42671" w:rsidRDefault="008B53CA" w:rsidP="008B53CA">
      <w:pPr>
        <w:shd w:val="clear" w:color="auto" w:fill="FFFFFF"/>
        <w:rPr>
          <w:rFonts w:ascii="Arial" w:hAnsi="Arial" w:cs="Arial"/>
          <w:color w:val="000000"/>
        </w:rPr>
      </w:pPr>
      <w:r w:rsidRPr="00A42671">
        <w:rPr>
          <w:rFonts w:ascii="Arial" w:hAnsi="Arial" w:cs="Arial"/>
          <w:color w:val="000000"/>
        </w:rPr>
        <w:t>PMCID: PMC4296168</w:t>
      </w:r>
    </w:p>
    <w:p w:rsidR="008B53CA" w:rsidRPr="00A42671" w:rsidRDefault="008B53CA" w:rsidP="008B53CA">
      <w:pPr>
        <w:shd w:val="clear" w:color="auto" w:fill="FFFFFF"/>
        <w:rPr>
          <w:rFonts w:ascii="Arial" w:hAnsi="Arial" w:cs="Arial"/>
          <w:color w:val="000000"/>
        </w:rPr>
      </w:pPr>
      <w:r w:rsidRPr="00A42671">
        <w:rPr>
          <w:rFonts w:ascii="Arial" w:hAnsi="Arial" w:cs="Arial"/>
          <w:color w:val="000000"/>
        </w:rPr>
        <w:t>PMID: 25199915  [Indexed for MEDLINE]</w:t>
      </w:r>
    </w:p>
    <w:p w:rsidR="0090391F" w:rsidRDefault="0090391F"/>
    <w:p w:rsidR="00AA68A5" w:rsidRPr="00746889" w:rsidRDefault="00AA68A5" w:rsidP="00AA68A5">
      <w:pPr>
        <w:shd w:val="clear" w:color="auto" w:fill="FFFFFF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The file</w:t>
      </w:r>
      <w:r w:rsidRPr="00746889">
        <w:rPr>
          <w:rFonts w:ascii="Arial" w:hAnsi="Arial" w:cs="Arial"/>
          <w:color w:val="000000"/>
          <w:u w:val="single"/>
        </w:rPr>
        <w:t xml:space="preserve"> include</w:t>
      </w:r>
      <w:r>
        <w:rPr>
          <w:rFonts w:ascii="Arial" w:hAnsi="Arial" w:cs="Arial"/>
          <w:color w:val="000000"/>
          <w:u w:val="single"/>
        </w:rPr>
        <w:t>s</w:t>
      </w:r>
      <w:r w:rsidRPr="00746889">
        <w:rPr>
          <w:rFonts w:ascii="Arial" w:hAnsi="Arial" w:cs="Arial"/>
          <w:color w:val="000000"/>
          <w:u w:val="single"/>
        </w:rPr>
        <w:t xml:space="preserve"> the following variables: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SNPID</w:t>
      </w:r>
      <w:r w:rsidRPr="00746889">
        <w:rPr>
          <w:rFonts w:ascii="Arial" w:eastAsia="Times New Roman" w:hAnsi="Arial" w:cs="Arial"/>
          <w:bCs/>
          <w:color w:val="000000"/>
        </w:rPr>
        <w:t>: </w:t>
      </w:r>
      <w:proofErr w:type="spellStart"/>
      <w:r>
        <w:rPr>
          <w:rFonts w:ascii="Arial" w:eastAsia="Times New Roman" w:hAnsi="Arial" w:cs="Arial"/>
          <w:color w:val="000000"/>
        </w:rPr>
        <w:t>rs</w:t>
      </w:r>
      <w:proofErr w:type="spellEnd"/>
      <w:r w:rsidRPr="00746889">
        <w:rPr>
          <w:rFonts w:ascii="Arial" w:eastAsia="Times New Roman" w:hAnsi="Arial" w:cs="Arial"/>
          <w:color w:val="000000"/>
        </w:rPr>
        <w:t>#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chr</w:t>
      </w:r>
      <w:proofErr w:type="spellEnd"/>
      <w:r w:rsidRPr="00746889">
        <w:rPr>
          <w:rFonts w:ascii="Arial" w:eastAsia="Times New Roman" w:hAnsi="Arial" w:cs="Arial"/>
          <w:color w:val="000000"/>
        </w:rPr>
        <w:t>: Chromosome</w:t>
      </w:r>
      <w:r>
        <w:rPr>
          <w:rFonts w:ascii="Arial" w:eastAsia="Times New Roman" w:hAnsi="Arial" w:cs="Arial"/>
          <w:color w:val="000000"/>
        </w:rPr>
        <w:t xml:space="preserve">, genome build NCBI build 36 based on </w:t>
      </w:r>
      <w:proofErr w:type="spellStart"/>
      <w:r>
        <w:rPr>
          <w:rFonts w:ascii="Arial" w:eastAsia="Times New Roman" w:hAnsi="Arial" w:cs="Arial"/>
          <w:color w:val="000000"/>
        </w:rPr>
        <w:t>HapMap</w:t>
      </w:r>
      <w:proofErr w:type="spellEnd"/>
      <w:r>
        <w:rPr>
          <w:rFonts w:ascii="Arial" w:eastAsia="Times New Roman" w:hAnsi="Arial" w:cs="Arial"/>
          <w:color w:val="000000"/>
        </w:rPr>
        <w:t xml:space="preserve"> Phase II release 24.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pos</w:t>
      </w:r>
      <w:proofErr w:type="spellEnd"/>
      <w:r w:rsidRPr="00746889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Chromosomal position, genome build NCBI build 36 based on </w:t>
      </w:r>
      <w:proofErr w:type="spellStart"/>
      <w:r>
        <w:rPr>
          <w:rFonts w:ascii="Arial" w:eastAsia="Times New Roman" w:hAnsi="Arial" w:cs="Arial"/>
          <w:color w:val="000000"/>
        </w:rPr>
        <w:t>HapMap</w:t>
      </w:r>
      <w:proofErr w:type="spellEnd"/>
      <w:r>
        <w:rPr>
          <w:rFonts w:ascii="Arial" w:eastAsia="Times New Roman" w:hAnsi="Arial" w:cs="Arial"/>
          <w:color w:val="000000"/>
        </w:rPr>
        <w:t xml:space="preserve"> Phase II release 24.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coded_allele</w:t>
      </w:r>
      <w:proofErr w:type="spellEnd"/>
      <w:r>
        <w:rPr>
          <w:rFonts w:ascii="Arial" w:eastAsia="Times New Roman" w:hAnsi="Arial" w:cs="Arial"/>
          <w:color w:val="000000"/>
        </w:rPr>
        <w:t>: Effect</w:t>
      </w:r>
      <w:r w:rsidRPr="00746889">
        <w:rPr>
          <w:rFonts w:ascii="Arial" w:eastAsia="Times New Roman" w:hAnsi="Arial" w:cs="Arial"/>
          <w:color w:val="000000"/>
        </w:rPr>
        <w:t xml:space="preserve"> allele</w:t>
      </w:r>
      <w:r>
        <w:rPr>
          <w:rFonts w:ascii="Arial" w:eastAsia="Times New Roman" w:hAnsi="Arial" w:cs="Arial"/>
          <w:color w:val="000000"/>
        </w:rPr>
        <w:t>, the trait association reflects increasing dosage of the coded allele.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noncoded_allele</w:t>
      </w:r>
      <w:proofErr w:type="spellEnd"/>
      <w:r>
        <w:rPr>
          <w:rFonts w:ascii="Arial" w:eastAsia="Times New Roman" w:hAnsi="Arial" w:cs="Arial"/>
          <w:color w:val="000000"/>
        </w:rPr>
        <w:t>: Non-effect</w:t>
      </w:r>
      <w:r w:rsidRPr="00746889">
        <w:rPr>
          <w:rFonts w:ascii="Arial" w:eastAsia="Times New Roman" w:hAnsi="Arial" w:cs="Arial"/>
          <w:color w:val="000000"/>
        </w:rPr>
        <w:t xml:space="preserve"> allele</w:t>
      </w:r>
      <w:r>
        <w:rPr>
          <w:rFonts w:ascii="Arial" w:eastAsia="Times New Roman" w:hAnsi="Arial" w:cs="Arial"/>
          <w:color w:val="000000"/>
        </w:rPr>
        <w:t>.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coded_allele_freq</w:t>
      </w:r>
      <w:proofErr w:type="spellEnd"/>
      <w:r>
        <w:rPr>
          <w:rFonts w:ascii="Arial" w:eastAsia="Times New Roman" w:hAnsi="Arial" w:cs="Arial"/>
          <w:color w:val="000000"/>
        </w:rPr>
        <w:t>: F</w:t>
      </w:r>
      <w:r w:rsidRPr="00746889">
        <w:rPr>
          <w:rFonts w:ascii="Arial" w:eastAsia="Times New Roman" w:hAnsi="Arial" w:cs="Arial"/>
          <w:color w:val="000000"/>
        </w:rPr>
        <w:t xml:space="preserve">requency of </w:t>
      </w:r>
      <w:r>
        <w:rPr>
          <w:rFonts w:ascii="Arial" w:eastAsia="Times New Roman" w:hAnsi="Arial" w:cs="Arial"/>
          <w:color w:val="000000"/>
        </w:rPr>
        <w:t>coded allele.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logOR</w:t>
      </w:r>
      <w:proofErr w:type="spellEnd"/>
      <w:r>
        <w:rPr>
          <w:rFonts w:ascii="Arial" w:eastAsia="Times New Roman" w:hAnsi="Arial" w:cs="Arial"/>
          <w:color w:val="000000"/>
        </w:rPr>
        <w:t xml:space="preserve">: Meta-analysis beta, based on study-specific logistic regression estimates, equivalent to the natural log of the odds ratio. 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bCs/>
          <w:color w:val="000000"/>
        </w:rPr>
        <w:t>StdErr</w:t>
      </w:r>
      <w:proofErr w:type="spellEnd"/>
      <w:r>
        <w:rPr>
          <w:rFonts w:ascii="Arial" w:eastAsia="Times New Roman" w:hAnsi="Arial" w:cs="Arial"/>
          <w:color w:val="000000"/>
        </w:rPr>
        <w:t>: SE(</w:t>
      </w:r>
      <w:proofErr w:type="spellStart"/>
      <w:r>
        <w:rPr>
          <w:rFonts w:ascii="Arial" w:eastAsia="Times New Roman" w:hAnsi="Arial" w:cs="Arial"/>
          <w:color w:val="000000"/>
        </w:rPr>
        <w:t>logOR</w:t>
      </w:r>
      <w:proofErr w:type="spellEnd"/>
      <w:r w:rsidRPr="00746889">
        <w:rPr>
          <w:rFonts w:ascii="Arial" w:eastAsia="Times New Roman" w:hAnsi="Arial" w:cs="Arial"/>
          <w:color w:val="000000"/>
        </w:rPr>
        <w:t>)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Pval</w:t>
      </w:r>
      <w:proofErr w:type="spellEnd"/>
      <w:r>
        <w:rPr>
          <w:rFonts w:ascii="Arial" w:eastAsia="Times New Roman" w:hAnsi="Arial" w:cs="Arial"/>
          <w:color w:val="000000"/>
        </w:rPr>
        <w:t>: P</w:t>
      </w:r>
      <w:r w:rsidRPr="00746889">
        <w:rPr>
          <w:rFonts w:ascii="Arial" w:eastAsia="Times New Roman" w:hAnsi="Arial" w:cs="Arial"/>
          <w:color w:val="000000"/>
        </w:rPr>
        <w:t>-value from meta-analysis 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r w:rsidRPr="00746889">
        <w:rPr>
          <w:rFonts w:ascii="Arial" w:eastAsia="Times New Roman" w:hAnsi="Arial" w:cs="Arial"/>
          <w:color w:val="000000"/>
        </w:rPr>
        <w:t>Direction: Direction of association from contributing studies</w:t>
      </w:r>
    </w:p>
    <w:p w:rsidR="00AA68A5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color w:val="000000"/>
        </w:rPr>
        <w:t>HetISq</w:t>
      </w:r>
      <w:proofErr w:type="spellEnd"/>
      <w:r w:rsidRPr="00746889">
        <w:rPr>
          <w:rFonts w:ascii="Arial" w:eastAsia="Times New Roman" w:hAnsi="Arial" w:cs="Arial"/>
          <w:color w:val="000000"/>
        </w:rPr>
        <w:t>: I2 heterogeneity statistic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Arial" w:eastAsia="Times New Roman" w:hAnsi="Arial" w:cs="Arial"/>
          <w:color w:val="000000"/>
        </w:rPr>
        <w:t>HetChiSq</w:t>
      </w:r>
      <w:proofErr w:type="spellEnd"/>
      <w:r w:rsidR="00DC277A">
        <w:rPr>
          <w:rFonts w:ascii="Arial" w:eastAsia="Times New Roman" w:hAnsi="Arial" w:cs="Arial"/>
          <w:color w:val="000000"/>
        </w:rPr>
        <w:t>: Heterogeneity test statistic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color w:val="000000"/>
        </w:rPr>
        <w:t>HetDf</w:t>
      </w:r>
      <w:proofErr w:type="spellEnd"/>
      <w:r w:rsidRPr="00746889">
        <w:rPr>
          <w:rFonts w:ascii="Arial" w:eastAsia="Times New Roman" w:hAnsi="Arial" w:cs="Arial"/>
          <w:color w:val="000000"/>
        </w:rPr>
        <w:t>: degrees of freedom for heterogeneity te</w:t>
      </w:r>
      <w:bookmarkStart w:id="0" w:name="_GoBack"/>
      <w:bookmarkEnd w:id="0"/>
      <w:r w:rsidRPr="00746889">
        <w:rPr>
          <w:rFonts w:ascii="Arial" w:eastAsia="Times New Roman" w:hAnsi="Arial" w:cs="Arial"/>
          <w:color w:val="000000"/>
        </w:rPr>
        <w:t>st</w:t>
      </w:r>
    </w:p>
    <w:p w:rsidR="00AA68A5" w:rsidRPr="00746889" w:rsidRDefault="00AA68A5" w:rsidP="00AA6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uto"/>
        <w:ind w:left="384"/>
        <w:rPr>
          <w:rFonts w:ascii="Arial" w:eastAsia="Times New Roman" w:hAnsi="Arial" w:cs="Arial"/>
          <w:color w:val="000000"/>
        </w:rPr>
      </w:pPr>
      <w:proofErr w:type="spellStart"/>
      <w:r w:rsidRPr="00746889">
        <w:rPr>
          <w:rFonts w:ascii="Arial" w:eastAsia="Times New Roman" w:hAnsi="Arial" w:cs="Arial"/>
          <w:color w:val="000000"/>
        </w:rPr>
        <w:t>HetPVal</w:t>
      </w:r>
      <w:proofErr w:type="spellEnd"/>
      <w:r w:rsidRPr="00746889">
        <w:rPr>
          <w:rFonts w:ascii="Arial" w:eastAsia="Times New Roman" w:hAnsi="Arial" w:cs="Arial"/>
          <w:color w:val="000000"/>
        </w:rPr>
        <w:t>: heterogeneity p-value</w:t>
      </w:r>
    </w:p>
    <w:p w:rsidR="00AA68A5" w:rsidRPr="00746889" w:rsidRDefault="00AA68A5" w:rsidP="00AA68A5">
      <w:pPr>
        <w:shd w:val="clear" w:color="auto" w:fill="FFFFFF"/>
        <w:spacing w:before="96" w:after="120" w:line="315" w:lineRule="atLeast"/>
        <w:rPr>
          <w:rFonts w:ascii="Arial" w:eastAsia="Times New Roman" w:hAnsi="Arial" w:cs="Arial"/>
          <w:color w:val="000000"/>
        </w:rPr>
      </w:pPr>
    </w:p>
    <w:p w:rsidR="00AA68A5" w:rsidRPr="00746889" w:rsidRDefault="00AA68A5" w:rsidP="00AA68A5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  <w:u w:val="single"/>
        </w:rPr>
      </w:pPr>
      <w:r w:rsidRPr="00746889">
        <w:rPr>
          <w:rFonts w:ascii="Arial" w:hAnsi="Arial" w:cs="Arial"/>
          <w:color w:val="000000"/>
          <w:u w:val="single"/>
        </w:rPr>
        <w:t>Study order for Direction column:</w:t>
      </w:r>
    </w:p>
    <w:p w:rsidR="00AA68A5" w:rsidRDefault="00AA68A5" w:rsidP="00AA68A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T</w:t>
      </w:r>
      <w:r w:rsidRPr="00746889">
        <w:rPr>
          <w:rFonts w:ascii="Arial" w:eastAsia="Times New Roman" w:hAnsi="Arial" w:cs="Arial"/>
          <w:color w:val="000000"/>
        </w:rPr>
        <w:t xml:space="preserve">he studies are ordered as </w:t>
      </w:r>
      <w:r w:rsidRPr="00B77720">
        <w:rPr>
          <w:rFonts w:ascii="Arial" w:eastAsia="Times New Roman" w:hAnsi="Arial" w:cs="Arial"/>
          <w:color w:val="000000"/>
        </w:rPr>
        <w:t xml:space="preserve">RS1, RS2, SOF, CHS, </w:t>
      </w:r>
      <w:proofErr w:type="spellStart"/>
      <w:r w:rsidRPr="00B77720">
        <w:rPr>
          <w:rFonts w:ascii="Arial" w:eastAsia="Times New Roman" w:hAnsi="Arial" w:cs="Arial"/>
          <w:color w:val="000000"/>
        </w:rPr>
        <w:t>MrOS</w:t>
      </w:r>
      <w:proofErr w:type="spellEnd"/>
      <w:r w:rsidRPr="00B77720">
        <w:rPr>
          <w:rFonts w:ascii="Arial" w:eastAsia="Times New Roman" w:hAnsi="Arial" w:cs="Arial"/>
          <w:color w:val="000000"/>
        </w:rPr>
        <w:t xml:space="preserve">, FHS, HRS, AGES, RADC, </w:t>
      </w:r>
      <w:proofErr w:type="spellStart"/>
      <w:r w:rsidRPr="00B77720">
        <w:rPr>
          <w:rFonts w:ascii="Arial" w:eastAsia="Times New Roman" w:hAnsi="Arial" w:cs="Arial"/>
          <w:color w:val="000000"/>
        </w:rPr>
        <w:t>InCHIANTI</w:t>
      </w:r>
      <w:proofErr w:type="spellEnd"/>
      <w:r w:rsidRPr="00B77720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and </w:t>
      </w:r>
      <w:r w:rsidRPr="00B77720">
        <w:rPr>
          <w:rFonts w:ascii="Arial" w:eastAsia="Times New Roman" w:hAnsi="Arial" w:cs="Arial"/>
          <w:color w:val="000000"/>
        </w:rPr>
        <w:t>BLSA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AA68A5" w:rsidRPr="00746889" w:rsidRDefault="00AA68A5" w:rsidP="00AA68A5">
      <w:pPr>
        <w:rPr>
          <w:rFonts w:ascii="Arial" w:hAnsi="Arial" w:cs="Arial"/>
          <w:u w:val="single"/>
        </w:rPr>
      </w:pPr>
      <w:r w:rsidRPr="00746889">
        <w:rPr>
          <w:rFonts w:ascii="Arial" w:hAnsi="Arial" w:cs="Arial"/>
          <w:u w:val="single"/>
        </w:rPr>
        <w:t xml:space="preserve">Sample size for cohorts in meta-analysis </w:t>
      </w:r>
    </w:p>
    <w:p w:rsidR="00AA68A5" w:rsidRDefault="00AA6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Study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N cases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N controls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RS1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899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1192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RS2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69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161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SOF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1720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124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CHS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791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560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proofErr w:type="spellStart"/>
            <w:r w:rsidRPr="00231786">
              <w:t>MrOS</w:t>
            </w:r>
            <w:proofErr w:type="spellEnd"/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670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502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FHS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320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484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HRS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384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401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AGES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541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145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RADC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468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78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proofErr w:type="spellStart"/>
            <w:r w:rsidRPr="00231786">
              <w:t>InCHIANTI</w:t>
            </w:r>
            <w:proofErr w:type="spellEnd"/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101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75</w:t>
            </w:r>
          </w:p>
        </w:tc>
      </w:tr>
      <w:tr w:rsidR="00EE2E77" w:rsidTr="00EE2E77">
        <w:tc>
          <w:tcPr>
            <w:tcW w:w="3116" w:type="dxa"/>
          </w:tcPr>
          <w:p w:rsidR="00EE2E77" w:rsidRPr="00231786" w:rsidRDefault="00EE2E77" w:rsidP="00EE2E77">
            <w:r w:rsidRPr="00231786">
              <w:t>BLSA</w:t>
            </w:r>
          </w:p>
        </w:tc>
        <w:tc>
          <w:tcPr>
            <w:tcW w:w="3117" w:type="dxa"/>
          </w:tcPr>
          <w:p w:rsidR="00EE2E77" w:rsidRPr="00231786" w:rsidRDefault="00EE2E77" w:rsidP="00EE2E77">
            <w:r w:rsidRPr="00231786">
              <w:t>128</w:t>
            </w:r>
          </w:p>
        </w:tc>
        <w:tc>
          <w:tcPr>
            <w:tcW w:w="3117" w:type="dxa"/>
          </w:tcPr>
          <w:p w:rsidR="00EE2E77" w:rsidRDefault="00EE2E77" w:rsidP="00EE2E77">
            <w:r w:rsidRPr="00231786">
              <w:t>42</w:t>
            </w:r>
          </w:p>
        </w:tc>
      </w:tr>
    </w:tbl>
    <w:p w:rsidR="00EE2E77" w:rsidRDefault="00EE2E77"/>
    <w:sectPr w:rsidR="00EE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1AB"/>
    <w:multiLevelType w:val="multilevel"/>
    <w:tmpl w:val="066E15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81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A"/>
    <w:rsid w:val="008B53CA"/>
    <w:rsid w:val="0090391F"/>
    <w:rsid w:val="00AA68A5"/>
    <w:rsid w:val="00DC277A"/>
    <w:rsid w:val="00E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DD760-30ED-4E33-AA18-5021BDF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A5"/>
    <w:pPr>
      <w:ind w:left="720"/>
      <w:contextualSpacing/>
    </w:pPr>
  </w:style>
  <w:style w:type="table" w:styleId="TableGrid">
    <w:name w:val="Table Grid"/>
    <w:basedOn w:val="TableNormal"/>
    <w:uiPriority w:val="39"/>
    <w:rsid w:val="00EE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Company>SFCC\UCSF-DEB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Dan</dc:creator>
  <cp:keywords/>
  <dc:description/>
  <cp:lastModifiedBy>Evans, Dan</cp:lastModifiedBy>
  <cp:revision>4</cp:revision>
  <dcterms:created xsi:type="dcterms:W3CDTF">2017-05-13T22:34:00Z</dcterms:created>
  <dcterms:modified xsi:type="dcterms:W3CDTF">2017-05-13T22:39:00Z</dcterms:modified>
</cp:coreProperties>
</file>